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rlito" w:cs="Carlito" w:eastAsia="Carlito" w:hAnsi="Carlito"/>
        </w:rPr>
      </w:pPr>
      <w:r w:rsidDel="00000000" w:rsidR="00000000" w:rsidRPr="00000000">
        <w:rPr>
          <w:rFonts w:ascii="Carlito" w:cs="Carlito" w:eastAsia="Carlito" w:hAnsi="Carlito"/>
          <w:b w:val="1"/>
          <w:rtl w:val="0"/>
        </w:rPr>
        <w:t xml:space="preserve">Manuál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rlito" w:cs="Carlito" w:eastAsia="Carlito" w:hAnsi="Carlito"/>
          <w:b w:val="1"/>
        </w:rPr>
      </w:pPr>
      <w:r w:rsidDel="00000000" w:rsidR="00000000" w:rsidRPr="00000000">
        <w:rPr>
          <w:rFonts w:ascii="Carlito" w:cs="Carlito" w:eastAsia="Carlito" w:hAnsi="Carlito"/>
          <w:b w:val="1"/>
          <w:rtl w:val="0"/>
        </w:rPr>
        <w:t xml:space="preserve">MPOW Flame 2</w:t>
      </w:r>
    </w:p>
    <w:p w:rsidR="00000000" w:rsidDel="00000000" w:rsidP="00000000" w:rsidRDefault="00000000" w:rsidRPr="00000000" w14:paraId="00000003">
      <w:pPr>
        <w:jc w:val="center"/>
        <w:rPr>
          <w:rFonts w:ascii="Carlito" w:cs="Carlito" w:eastAsia="Carlito" w:hAnsi="Carl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1664062</wp:posOffset>
            </wp:positionH>
            <wp:positionV relativeFrom="paragraph">
              <wp:posOffset>171450</wp:posOffset>
            </wp:positionV>
            <wp:extent cx="3511912" cy="2214571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1912" cy="2214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Obsah balení: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rlito" w:cs="Carlito" w:eastAsia="Carlito" w:hAnsi="Carlito"/>
          <w:sz w:val="18"/>
          <w:szCs w:val="18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nabíjecí kabel,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rlito" w:cs="Carlito" w:eastAsia="Carlito" w:hAnsi="Carlito"/>
          <w:sz w:val="18"/>
          <w:szCs w:val="18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manuál,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rlito" w:cs="Carlito" w:eastAsia="Carlito" w:hAnsi="Carlito"/>
          <w:sz w:val="18"/>
          <w:szCs w:val="18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4 velikosti nástavců,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rlito" w:cs="Carlito" w:eastAsia="Carlito" w:hAnsi="Carlito"/>
          <w:sz w:val="18"/>
          <w:szCs w:val="18"/>
          <w:u w:val="none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3 velikosti </w:t>
      </w: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náušníků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rlito" w:cs="Carlito" w:eastAsia="Carlito" w:hAnsi="Carlito"/>
          <w:sz w:val="18"/>
          <w:szCs w:val="18"/>
          <w:u w:val="none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spona na šňůru,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rlito" w:cs="Carlito" w:eastAsia="Carlito" w:hAnsi="Carlito"/>
          <w:sz w:val="18"/>
          <w:szCs w:val="18"/>
          <w:u w:val="none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spona na oblečení.</w:t>
      </w:r>
    </w:p>
    <w:p w:rsidR="00000000" w:rsidDel="00000000" w:rsidP="00000000" w:rsidRDefault="00000000" w:rsidRPr="00000000" w14:paraId="0000001B">
      <w:pPr>
        <w:rPr>
          <w:rFonts w:ascii="Carlito" w:cs="Carlito" w:eastAsia="Carlito" w:hAnsi="Carlito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3321412" cy="128138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1412" cy="12813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rlito" w:cs="Carlito" w:eastAsia="Carlito" w:hAnsi="Carlito"/>
          <w:b w:val="1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První použití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76" w:lineRule="auto"/>
        <w:ind w:left="720" w:hanging="360"/>
        <w:rPr>
          <w:rFonts w:ascii="Carlito" w:cs="Carlito" w:eastAsia="Carlito" w:hAnsi="Carlito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Na Vašem mobilním zařízení zapněte Bluetooth.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76" w:lineRule="auto"/>
        <w:ind w:left="720" w:hanging="360"/>
        <w:rPr>
          <w:rFonts w:ascii="Carlito" w:cs="Carlito" w:eastAsia="Carlito" w:hAnsi="Carlito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Po zmáčknutí multifunkčního tlačítka na 1-2 vteřiny dojde k automaticky k párování s vaším mobilním zařízením (střídavě bliká modrá a červená dioda).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rPr>
          <w:rFonts w:ascii="Carlito" w:cs="Carlito" w:eastAsia="Carlito" w:hAnsi="Carlito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V nastavení Bluetooth najděte zařízení “MPOW Flame2” a připojte se, pokud je třeba, zadejte kód 0000.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rPr>
          <w:rFonts w:ascii="Carlito" w:cs="Carlito" w:eastAsia="Carlito" w:hAnsi="Carlito"/>
          <w:sz w:val="18"/>
          <w:szCs w:val="18"/>
          <w:u w:val="none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Po spárování začne pomalu blikat modrá dioda. 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rlito" w:cs="Carlito" w:eastAsia="Carlito" w:hAnsi="Carl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Párování s jiným zařízením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rPr>
          <w:rFonts w:ascii="Carlito" w:cs="Carlito" w:eastAsia="Carlito" w:hAnsi="Carlito"/>
          <w:sz w:val="18"/>
          <w:szCs w:val="18"/>
          <w:u w:val="none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Zmáčkněte multifunkční tlačítko na 5-6 vteřin dokud nezačne střídavě blikat modrá a červená dioda.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rFonts w:ascii="Carlito" w:cs="Carlito" w:eastAsia="Carlito" w:hAnsi="Carlito"/>
          <w:sz w:val="18"/>
          <w:szCs w:val="18"/>
          <w:u w:val="none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Další kroky jsou stejné jako při prvním párování.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rFonts w:ascii="Carlito" w:cs="Carlito" w:eastAsia="Carlito" w:hAnsi="Carl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rlito" w:cs="Carlito" w:eastAsia="Carlito" w:hAnsi="Carlito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Přijetí/odmítnutí hovoru, zapnutí/vypnutí hudby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rlito" w:cs="Carlito" w:eastAsia="Carlito" w:hAnsi="Carlito"/>
          <w:b w:val="1"/>
          <w:color w:val="2121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816588" cy="2300636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6588" cy="23006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>
          <w:rFonts w:ascii="Carlito" w:cs="Carlito" w:eastAsia="Carlito" w:hAnsi="Carlito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Ovládání hlasitosti a hudby</w:t>
      </w:r>
    </w:p>
    <w:p w:rsidR="00000000" w:rsidDel="00000000" w:rsidP="00000000" w:rsidRDefault="00000000" w:rsidRPr="00000000" w14:paraId="00000041">
      <w:pPr>
        <w:rPr>
          <w:rFonts w:ascii="Carlito" w:cs="Carlito" w:eastAsia="Carlito" w:hAnsi="Carlito"/>
          <w:sz w:val="18"/>
          <w:szCs w:val="18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</w:rPr>
        <w:drawing>
          <wp:inline distB="114300" distT="114300" distL="114300" distR="114300">
            <wp:extent cx="3256521" cy="2435587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6521" cy="2435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rlito" w:cs="Carlito" w:eastAsia="Carlito" w:hAnsi="Carlito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Nabíjení baterie</w:t>
      </w:r>
    </w:p>
    <w:p w:rsidR="00000000" w:rsidDel="00000000" w:rsidP="00000000" w:rsidRDefault="00000000" w:rsidRPr="00000000" w14:paraId="00000045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</w:rPr>
        <w:drawing>
          <wp:inline distB="114300" distT="114300" distL="114300" distR="114300">
            <wp:extent cx="4109018" cy="211173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9018" cy="2111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rlito" w:cs="Carlito" w:eastAsia="Carlito" w:hAnsi="Carl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rlito" w:cs="Carlito" w:eastAsia="Carlito" w:hAnsi="Carlito"/>
          <w:b w:val="1"/>
          <w:color w:val="212121"/>
        </w:rPr>
      </w:pPr>
      <w:r w:rsidDel="00000000" w:rsidR="00000000" w:rsidRPr="00000000">
        <w:rPr>
          <w:rFonts w:ascii="Carlito" w:cs="Carlito" w:eastAsia="Carlito" w:hAnsi="Carlito"/>
          <w:b w:val="1"/>
          <w:sz w:val="20"/>
          <w:szCs w:val="20"/>
          <w:rtl w:val="0"/>
        </w:rPr>
        <w:t xml:space="preserve">Péče o produkt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Nepoškozujte, neklepejte a netřeste s produktem. Hrozí mechanické poškození přístroje či zkrat. Udržujte přístroj v bezprašném a suchém prostředí.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rFonts w:ascii="Carlito" w:cs="Carlito" w:eastAsia="Carlito" w:hAnsi="Carlito"/>
          <w:color w:val="21212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Nevystavujte produkt vlhkosti, extrémnímu a dlouhému teplu, chladu a dalším nepříznivým podmínkám.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Carlito" w:cs="Carlito" w:eastAsia="Carlito" w:hAnsi="Carlito"/>
          <w:color w:val="21212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Čistěte produkt jemnou látkou nebo navlhčenou kůží. Nikdy nepoužívejte rozpouštědla.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rFonts w:ascii="Carlito" w:cs="Carlito" w:eastAsia="Carlito" w:hAnsi="Carlito"/>
          <w:color w:val="21212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Produkt může být opravován pouze kvalifikovaným personálem.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rFonts w:ascii="Carlito" w:cs="Carlito" w:eastAsia="Carlito" w:hAnsi="Carlito"/>
          <w:color w:val="212121"/>
          <w:sz w:val="20"/>
          <w:szCs w:val="20"/>
        </w:rPr>
      </w:pPr>
      <w:r w:rsidDel="00000000" w:rsidR="00000000" w:rsidRPr="00000000">
        <w:rPr>
          <w:rFonts w:ascii="Carlito" w:cs="Carlito" w:eastAsia="Carlito" w:hAnsi="Carlito"/>
          <w:sz w:val="18"/>
          <w:szCs w:val="18"/>
          <w:rtl w:val="0"/>
        </w:rPr>
        <w:t xml:space="preserve">Sluchátka obsahují magnety. S produktem se vyhněte předmětům, které jsou citlivé na magnetické pole, jako např. kreditní karty. Hrozí porucha funkce produktu.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566.9291338582677" w:top="566.9291338582677" w:left="566.9291338582677" w:right="566.92913385826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rlito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